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12832" w14:textId="646011CA" w:rsidR="00112592" w:rsidRDefault="005C202C" w:rsidP="004A0C06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9765C5" wp14:editId="306343E4">
                <wp:simplePos x="2524125" y="4000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857500" cy="781050"/>
                <wp:effectExtent l="0" t="0" r="19050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015DC" w14:textId="09F28D6E" w:rsidR="005C202C" w:rsidRPr="005C202C" w:rsidRDefault="005C202C" w:rsidP="005C202C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5C202C">
                              <w:rPr>
                                <w:sz w:val="30"/>
                                <w:szCs w:val="30"/>
                              </w:rPr>
                              <w:t>Insert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765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225pt;height:61.5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" fillcolor="white [3201]" strokecolor="#0b2b48 [3204]" strokeweight="1pt">
                <v:textbox>
                  <w:txbxContent>
                    <w:p w14:paraId="145015DC" w14:textId="09F28D6E" w:rsidR="005C202C" w:rsidRPr="005C202C" w:rsidRDefault="005C202C" w:rsidP="005C202C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5C202C">
                        <w:rPr>
                          <w:sz w:val="30"/>
                          <w:szCs w:val="30"/>
                        </w:rPr>
                        <w:t>Insert Logo Here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51F9FB0" w14:textId="77777777" w:rsidR="005C202C" w:rsidRDefault="005C202C" w:rsidP="004A0C06">
      <w:pPr>
        <w:rPr>
          <w:rFonts w:cstheme="minorHAnsi"/>
          <w:sz w:val="28"/>
          <w:szCs w:val="28"/>
        </w:rPr>
      </w:pPr>
    </w:p>
    <w:p w14:paraId="6D78942E" w14:textId="77777777" w:rsidR="005C202C" w:rsidRDefault="005C202C" w:rsidP="002F7D71">
      <w:pPr>
        <w:spacing w:before="160"/>
        <w:jc w:val="center"/>
        <w:rPr>
          <w:rFonts w:cstheme="minorHAnsi"/>
          <w:b/>
          <w:sz w:val="28"/>
          <w:szCs w:val="28"/>
        </w:rPr>
      </w:pPr>
    </w:p>
    <w:p w14:paraId="6E20076A" w14:textId="45767BCF" w:rsidR="001A6F57" w:rsidRDefault="002E6693" w:rsidP="002F7D71">
      <w:pPr>
        <w:spacing w:before="16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F86E412" wp14:editId="3BD2F21D">
                <wp:simplePos x="0" y="0"/>
                <wp:positionH relativeFrom="margin">
                  <wp:align>right</wp:align>
                </wp:positionH>
                <wp:positionV relativeFrom="paragraph">
                  <wp:posOffset>351790</wp:posOffset>
                </wp:positionV>
                <wp:extent cx="2238375" cy="1428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92" y="21600"/>
                    <wp:lineTo x="21692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28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02C6B" w14:textId="77777777" w:rsidR="00FD091F" w:rsidRPr="00F82360" w:rsidRDefault="00FD091F" w:rsidP="00FD091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8236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Standard</w:t>
                            </w:r>
                            <w:r w:rsidR="00F82360" w:rsidRPr="00F8236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Tax</w:t>
                            </w:r>
                            <w:r w:rsidRPr="00F8236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Deductions</w:t>
                            </w:r>
                          </w:p>
                          <w:p w14:paraId="7ED4E5E6" w14:textId="77777777" w:rsidR="00FD091F" w:rsidRPr="009861BA" w:rsidRDefault="00FD091F" w:rsidP="00FD09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861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$12,000 for individual</w:t>
                            </w:r>
                          </w:p>
                          <w:p w14:paraId="4884B160" w14:textId="77777777" w:rsidR="00FD091F" w:rsidRPr="009861BA" w:rsidRDefault="00FD091F" w:rsidP="00FD09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861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$18,000 for heads of household</w:t>
                            </w:r>
                          </w:p>
                          <w:p w14:paraId="25957D6D" w14:textId="77777777" w:rsidR="00FD091F" w:rsidRPr="009861BA" w:rsidRDefault="00FD091F" w:rsidP="00FD09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861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$24,000 for married couples</w:t>
                            </w:r>
                          </w:p>
                          <w:p w14:paraId="72F9985C" w14:textId="77777777" w:rsidR="00FD091F" w:rsidRDefault="00FD091F" w:rsidP="00FD09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6E412" id="Rectangle 7" o:spid="_x0000_s1027" style="position:absolute;left:0;text-align:left;margin-left:125.05pt;margin-top:27.7pt;width:176.25pt;height:112.5pt;z-index:-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" fillcolor="#0b2b48 [3204]" strokecolor="#051523 [1604]" strokeweight="1pt">
                <v:textbox>
                  <w:txbxContent>
                    <w:p w14:paraId="3FA02C6B" w14:textId="77777777" w:rsidR="00FD091F" w:rsidRPr="00F82360" w:rsidRDefault="00FD091F" w:rsidP="00FD091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8236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Standard</w:t>
                      </w:r>
                      <w:r w:rsidR="00F82360" w:rsidRPr="00F8236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Tax</w:t>
                      </w:r>
                      <w:r w:rsidRPr="00F8236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Deductions</w:t>
                      </w:r>
                    </w:p>
                    <w:p w14:paraId="7ED4E5E6" w14:textId="77777777" w:rsidR="00FD091F" w:rsidRPr="009861BA" w:rsidRDefault="00FD091F" w:rsidP="00FD09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861BA">
                        <w:rPr>
                          <w:rFonts w:cstheme="minorHAnsi"/>
                          <w:sz w:val="24"/>
                          <w:szCs w:val="24"/>
                        </w:rPr>
                        <w:t>$12,000 for individual</w:t>
                      </w:r>
                    </w:p>
                    <w:p w14:paraId="4884B160" w14:textId="77777777" w:rsidR="00FD091F" w:rsidRPr="009861BA" w:rsidRDefault="00FD091F" w:rsidP="00FD09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861BA">
                        <w:rPr>
                          <w:rFonts w:cstheme="minorHAnsi"/>
                          <w:sz w:val="24"/>
                          <w:szCs w:val="24"/>
                        </w:rPr>
                        <w:t>$18,000 for heads of household</w:t>
                      </w:r>
                    </w:p>
                    <w:p w14:paraId="25957D6D" w14:textId="77777777" w:rsidR="00FD091F" w:rsidRPr="009861BA" w:rsidRDefault="00FD091F" w:rsidP="00FD09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861BA">
                        <w:rPr>
                          <w:rFonts w:cstheme="minorHAnsi"/>
                          <w:sz w:val="24"/>
                          <w:szCs w:val="24"/>
                        </w:rPr>
                        <w:t>$24,000 for married couples</w:t>
                      </w:r>
                    </w:p>
                    <w:p w14:paraId="72F9985C" w14:textId="77777777" w:rsidR="00FD091F" w:rsidRDefault="00FD091F" w:rsidP="00FD091F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D12544">
        <w:rPr>
          <w:rFonts w:cstheme="minorHAnsi"/>
          <w:b/>
          <w:sz w:val="28"/>
          <w:szCs w:val="28"/>
        </w:rPr>
        <w:t xml:space="preserve">The Benefits of </w:t>
      </w:r>
      <w:r w:rsidR="0015178C">
        <w:rPr>
          <w:rFonts w:cstheme="minorHAnsi"/>
          <w:b/>
          <w:sz w:val="28"/>
          <w:szCs w:val="28"/>
        </w:rPr>
        <w:t>DAFs</w:t>
      </w:r>
    </w:p>
    <w:p w14:paraId="5DC95415" w14:textId="5061D412" w:rsidR="00C55090" w:rsidRDefault="00DA26B6" w:rsidP="00C55090">
      <w:pPr>
        <w:spacing w:before="16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What is a DAF?</w:t>
      </w:r>
      <w:bookmarkStart w:id="0" w:name="_GoBack"/>
      <w:bookmarkEnd w:id="0"/>
    </w:p>
    <w:p w14:paraId="0FAB9D19" w14:textId="714AB5AE" w:rsidR="00C65CA3" w:rsidRPr="005C202C" w:rsidRDefault="00C65CA3" w:rsidP="00C55090">
      <w:pPr>
        <w:spacing w:before="160"/>
        <w:rPr>
          <w:rFonts w:eastAsiaTheme="minorEastAsia"/>
          <w:sz w:val="23"/>
          <w:szCs w:val="23"/>
        </w:rPr>
      </w:pPr>
      <w:r w:rsidRPr="005C202C">
        <w:rPr>
          <w:rFonts w:eastAsiaTheme="minorEastAsia"/>
          <w:sz w:val="23"/>
          <w:szCs w:val="23"/>
        </w:rPr>
        <w:t xml:space="preserve">A donor advised fund (DAF) is simply a fund set up by a donor and administered by a public charity. A donor can start a DAF with as little as $5,000, receive an immediate tax benefit that year, and then provide guidance on donations given from the fund to </w:t>
      </w:r>
      <w:r w:rsidR="002E6693" w:rsidRPr="005C202C">
        <w:rPr>
          <w:rFonts w:eastAsiaTheme="minorEastAsia"/>
          <w:sz w:val="23"/>
          <w:szCs w:val="23"/>
        </w:rPr>
        <w:t>nonprofits</w:t>
      </w:r>
      <w:r w:rsidRPr="005C202C">
        <w:rPr>
          <w:rFonts w:eastAsiaTheme="minorEastAsia"/>
          <w:sz w:val="23"/>
          <w:szCs w:val="23"/>
        </w:rPr>
        <w:t xml:space="preserve"> for as long as the fund exists</w:t>
      </w:r>
      <w:r w:rsidR="00AA6E59" w:rsidRPr="005C202C">
        <w:rPr>
          <w:rFonts w:eastAsiaTheme="minorEastAsia"/>
          <w:sz w:val="23"/>
          <w:szCs w:val="23"/>
        </w:rPr>
        <w:t>, donating more money to the DAF as desired</w:t>
      </w:r>
      <w:r w:rsidRPr="005C202C">
        <w:rPr>
          <w:rFonts w:eastAsiaTheme="minorEastAsia"/>
          <w:sz w:val="23"/>
          <w:szCs w:val="23"/>
        </w:rPr>
        <w:t xml:space="preserve">. </w:t>
      </w:r>
    </w:p>
    <w:p w14:paraId="5A28B95D" w14:textId="77777777" w:rsidR="005C202C" w:rsidRPr="005C202C" w:rsidRDefault="005C202C" w:rsidP="00C55090">
      <w:pPr>
        <w:spacing w:before="160"/>
        <w:rPr>
          <w:rFonts w:eastAsiaTheme="minorEastAsia"/>
          <w:b/>
          <w:bCs/>
          <w:i/>
          <w:iCs/>
          <w:sz w:val="20"/>
          <w:szCs w:val="20"/>
        </w:rPr>
      </w:pP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A5E18" w:rsidRPr="00E96766" w14:paraId="0427D4B4" w14:textId="77777777" w:rsidTr="001A5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  <w:tcBorders>
              <w:bottom w:val="single" w:sz="18" w:space="0" w:color="F77124" w:themeColor="accent2"/>
            </w:tcBorders>
          </w:tcPr>
          <w:p w14:paraId="45B67809" w14:textId="77777777" w:rsidR="007A5E18" w:rsidRPr="00E96766" w:rsidRDefault="007A5E18" w:rsidP="00E71C44">
            <w:pPr>
              <w:spacing w:after="120"/>
              <w:jc w:val="center"/>
              <w:rPr>
                <w:rFonts w:cstheme="minorHAnsi"/>
                <w:sz w:val="28"/>
                <w:szCs w:val="24"/>
              </w:rPr>
            </w:pPr>
            <w:r w:rsidRPr="007A5E18">
              <w:rPr>
                <w:rFonts w:cstheme="minorHAnsi"/>
                <w:sz w:val="28"/>
                <w:szCs w:val="28"/>
              </w:rPr>
              <w:t>DAFs and Bundling</w:t>
            </w:r>
          </w:p>
        </w:tc>
      </w:tr>
      <w:tr w:rsidR="007A5E18" w14:paraId="5FDE2D19" w14:textId="77777777" w:rsidTr="00F00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  <w:tcBorders>
              <w:top w:val="single" w:sz="18" w:space="0" w:color="F77124" w:themeColor="accent2"/>
              <w:bottom w:val="single" w:sz="18" w:space="0" w:color="F77124" w:themeColor="accent2"/>
            </w:tcBorders>
            <w:shd w:val="clear" w:color="auto" w:fill="B4B4B4"/>
            <w:tcMar>
              <w:left w:w="115" w:type="dxa"/>
              <w:bottom w:w="115" w:type="dxa"/>
              <w:right w:w="115" w:type="dxa"/>
            </w:tcMar>
            <w:vAlign w:val="center"/>
          </w:tcPr>
          <w:p w14:paraId="0717B24B" w14:textId="5132DEE6" w:rsidR="007A5E18" w:rsidRPr="005C202C" w:rsidRDefault="7449DC56" w:rsidP="7449DC56">
            <w:pPr>
              <w:spacing w:before="160"/>
              <w:rPr>
                <w:rFonts w:eastAsiaTheme="minorEastAsia"/>
                <w:b w:val="0"/>
                <w:bCs w:val="0"/>
                <w:sz w:val="23"/>
                <w:szCs w:val="23"/>
              </w:rPr>
            </w:pPr>
            <w:r w:rsidRPr="005C202C">
              <w:rPr>
                <w:rFonts w:eastAsiaTheme="minorEastAsia"/>
                <w:b w:val="0"/>
                <w:bCs w:val="0"/>
                <w:sz w:val="23"/>
                <w:szCs w:val="23"/>
              </w:rPr>
              <w:t xml:space="preserve">With higher standard deductions for taxes starting in 2018, some donors are choosing to bundle their giving </w:t>
            </w:r>
            <w:proofErr w:type="gramStart"/>
            <w:r w:rsidR="00C65CA3" w:rsidRPr="005C202C">
              <w:rPr>
                <w:rFonts w:eastAsiaTheme="minorEastAsia"/>
                <w:b w:val="0"/>
                <w:bCs w:val="0"/>
                <w:sz w:val="23"/>
                <w:szCs w:val="23"/>
              </w:rPr>
              <w:t xml:space="preserve">in order </w:t>
            </w:r>
            <w:r w:rsidRPr="005C202C">
              <w:rPr>
                <w:rFonts w:eastAsiaTheme="minorEastAsia"/>
                <w:b w:val="0"/>
                <w:bCs w:val="0"/>
                <w:sz w:val="23"/>
                <w:szCs w:val="23"/>
              </w:rPr>
              <w:t>to</w:t>
            </w:r>
            <w:proofErr w:type="gramEnd"/>
            <w:r w:rsidRPr="005C202C">
              <w:rPr>
                <w:rFonts w:eastAsiaTheme="minorEastAsia"/>
                <w:b w:val="0"/>
                <w:bCs w:val="0"/>
                <w:sz w:val="23"/>
                <w:szCs w:val="23"/>
              </w:rPr>
              <w:t xml:space="preserve"> continue giving at the same levels as before. This means donating two- or three-years’ worth of giving </w:t>
            </w:r>
            <w:r w:rsidR="00C65CA3" w:rsidRPr="005C202C">
              <w:rPr>
                <w:rFonts w:eastAsiaTheme="minorEastAsia"/>
                <w:b w:val="0"/>
                <w:bCs w:val="0"/>
                <w:sz w:val="23"/>
                <w:szCs w:val="23"/>
              </w:rPr>
              <w:t>at</w:t>
            </w:r>
            <w:r w:rsidRPr="005C202C">
              <w:rPr>
                <w:rFonts w:eastAsiaTheme="minorEastAsia"/>
                <w:b w:val="0"/>
                <w:bCs w:val="0"/>
                <w:sz w:val="23"/>
                <w:szCs w:val="23"/>
              </w:rPr>
              <w:t xml:space="preserve"> one</w:t>
            </w:r>
            <w:r w:rsidR="00C65CA3" w:rsidRPr="005C202C">
              <w:rPr>
                <w:rFonts w:eastAsiaTheme="minorEastAsia"/>
                <w:b w:val="0"/>
                <w:bCs w:val="0"/>
                <w:sz w:val="23"/>
                <w:szCs w:val="23"/>
              </w:rPr>
              <w:t xml:space="preserve"> time</w:t>
            </w:r>
            <w:r w:rsidRPr="005C202C">
              <w:rPr>
                <w:rFonts w:eastAsiaTheme="minorEastAsia"/>
                <w:b w:val="0"/>
                <w:bCs w:val="0"/>
                <w:sz w:val="23"/>
                <w:szCs w:val="23"/>
              </w:rPr>
              <w:t xml:space="preserve">, claiming the charitable deduction that year, and then waiting that </w:t>
            </w:r>
            <w:proofErr w:type="gramStart"/>
            <w:r w:rsidRPr="005C202C">
              <w:rPr>
                <w:rFonts w:eastAsiaTheme="minorEastAsia"/>
                <w:b w:val="0"/>
                <w:bCs w:val="0"/>
                <w:sz w:val="23"/>
                <w:szCs w:val="23"/>
              </w:rPr>
              <w:t>period of time</w:t>
            </w:r>
            <w:proofErr w:type="gramEnd"/>
            <w:r w:rsidRPr="005C202C">
              <w:rPr>
                <w:rFonts w:eastAsiaTheme="minorEastAsia"/>
                <w:b w:val="0"/>
                <w:bCs w:val="0"/>
                <w:sz w:val="23"/>
                <w:szCs w:val="23"/>
              </w:rPr>
              <w:t xml:space="preserve"> to donate again.</w:t>
            </w:r>
          </w:p>
          <w:p w14:paraId="331FA3DD" w14:textId="77777777" w:rsidR="007A5E18" w:rsidRPr="006A15C7" w:rsidRDefault="00C65CA3" w:rsidP="7449DC56">
            <w:pPr>
              <w:spacing w:before="160" w:after="60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5C202C">
              <w:rPr>
                <w:rFonts w:eastAsiaTheme="minorEastAsia"/>
                <w:b w:val="0"/>
                <w:bCs w:val="0"/>
                <w:sz w:val="23"/>
                <w:szCs w:val="23"/>
              </w:rPr>
              <w:t>One way to bundle is by c</w:t>
            </w:r>
            <w:r w:rsidR="7449DC56" w:rsidRPr="005C202C">
              <w:rPr>
                <w:rFonts w:eastAsiaTheme="minorEastAsia"/>
                <w:b w:val="0"/>
                <w:bCs w:val="0"/>
                <w:sz w:val="23"/>
                <w:szCs w:val="23"/>
              </w:rPr>
              <w:t>reating a DAF</w:t>
            </w:r>
            <w:r w:rsidRPr="005C202C">
              <w:rPr>
                <w:rFonts w:eastAsiaTheme="minorEastAsia"/>
                <w:b w:val="0"/>
                <w:bCs w:val="0"/>
                <w:sz w:val="23"/>
                <w:szCs w:val="23"/>
              </w:rPr>
              <w:t>. This</w:t>
            </w:r>
            <w:r w:rsidR="7449DC56" w:rsidRPr="005C202C">
              <w:rPr>
                <w:rFonts w:eastAsiaTheme="minorEastAsia"/>
                <w:b w:val="0"/>
                <w:bCs w:val="0"/>
                <w:sz w:val="23"/>
                <w:szCs w:val="23"/>
              </w:rPr>
              <w:t xml:space="preserve"> gives the person the option to bundle the donation to their DAF </w:t>
            </w:r>
            <w:r w:rsidRPr="005C202C">
              <w:rPr>
                <w:rFonts w:eastAsiaTheme="minorEastAsia"/>
                <w:b w:val="0"/>
                <w:bCs w:val="0"/>
                <w:sz w:val="23"/>
                <w:szCs w:val="23"/>
              </w:rPr>
              <w:t xml:space="preserve">that first year </w:t>
            </w:r>
            <w:r w:rsidR="7449DC56" w:rsidRPr="005C202C">
              <w:rPr>
                <w:rFonts w:eastAsiaTheme="minorEastAsia"/>
                <w:b w:val="0"/>
                <w:bCs w:val="0"/>
                <w:sz w:val="23"/>
                <w:szCs w:val="23"/>
              </w:rPr>
              <w:t xml:space="preserve">and then continue to support their nonprofits </w:t>
            </w:r>
            <w:r w:rsidR="003C4236" w:rsidRPr="005C202C">
              <w:rPr>
                <w:rFonts w:eastAsiaTheme="minorEastAsia"/>
                <w:b w:val="0"/>
                <w:bCs w:val="0"/>
                <w:sz w:val="23"/>
                <w:szCs w:val="23"/>
              </w:rPr>
              <w:t>every year</w:t>
            </w:r>
            <w:r w:rsidR="7449DC56" w:rsidRPr="005C202C">
              <w:rPr>
                <w:rFonts w:eastAsiaTheme="minorEastAsia"/>
                <w:b w:val="0"/>
                <w:bCs w:val="0"/>
                <w:sz w:val="23"/>
                <w:szCs w:val="23"/>
              </w:rPr>
              <w:t xml:space="preserve"> from the DAF.</w:t>
            </w:r>
            <w:r w:rsidR="7449DC56" w:rsidRPr="7449DC56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  <w:tr w:rsidR="007A5E18" w:rsidRPr="00E96766" w14:paraId="60DD2B02" w14:textId="77777777" w:rsidTr="001A5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  <w:tcBorders>
              <w:top w:val="single" w:sz="18" w:space="0" w:color="F77124" w:themeColor="accent2"/>
              <w:bottom w:val="nil"/>
            </w:tcBorders>
            <w:tcMar>
              <w:top w:w="115" w:type="dxa"/>
              <w:left w:w="115" w:type="dxa"/>
              <w:right w:w="115" w:type="dxa"/>
            </w:tcMar>
          </w:tcPr>
          <w:p w14:paraId="138BB27A" w14:textId="77777777" w:rsidR="005C202C" w:rsidRPr="005C202C" w:rsidRDefault="005C202C" w:rsidP="7449DC56">
            <w:pPr>
              <w:spacing w:after="120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</w:p>
          <w:p w14:paraId="697513C9" w14:textId="566248B2" w:rsidR="004A0C06" w:rsidRPr="00B42D38" w:rsidRDefault="00B42D38" w:rsidP="7449DC56">
            <w:pPr>
              <w:spacing w:after="120"/>
              <w:jc w:val="center"/>
              <w:rPr>
                <w:rFonts w:eastAsiaTheme="minorEastAsia"/>
                <w:bCs w:val="0"/>
                <w:sz w:val="28"/>
                <w:szCs w:val="28"/>
              </w:rPr>
            </w:pPr>
            <w:r>
              <w:rPr>
                <w:rFonts w:eastAsiaTheme="minorEastAsia"/>
                <w:bCs w:val="0"/>
                <w:sz w:val="28"/>
                <w:szCs w:val="28"/>
              </w:rPr>
              <w:t>How Bundling Works:</w:t>
            </w:r>
          </w:p>
          <w:p w14:paraId="4B8501F3" w14:textId="77777777" w:rsidR="7449DC56" w:rsidRDefault="00B42D38" w:rsidP="00B42D38">
            <w:pPr>
              <w:spacing w:after="120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80BB7B" wp14:editId="10FF8BBC">
                      <wp:simplePos x="0" y="0"/>
                      <wp:positionH relativeFrom="column">
                        <wp:posOffset>4608195</wp:posOffset>
                      </wp:positionH>
                      <wp:positionV relativeFrom="paragraph">
                        <wp:posOffset>55880</wp:posOffset>
                      </wp:positionV>
                      <wp:extent cx="1762125" cy="1352550"/>
                      <wp:effectExtent l="0" t="0" r="28575" b="19050"/>
                      <wp:wrapNone/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1352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A182FE" w14:textId="77777777" w:rsidR="004D3530" w:rsidRPr="00B42D38" w:rsidRDefault="004D3530" w:rsidP="004D353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42D38">
                                    <w:rPr>
                                      <w:b/>
                                    </w:rPr>
                                    <w:t>Year Three:</w:t>
                                  </w:r>
                                </w:p>
                                <w:p w14:paraId="752B4587" w14:textId="77777777" w:rsidR="004D3530" w:rsidRDefault="004D3530" w:rsidP="004D3530">
                                  <w:pPr>
                                    <w:jc w:val="center"/>
                                  </w:pPr>
                                  <w:r>
                                    <w:t xml:space="preserve">Donate 2 </w:t>
                                  </w:r>
                                  <w:proofErr w:type="spellStart"/>
                                  <w:r>
                                    <w:t>year’s worth</w:t>
                                  </w:r>
                                  <w:proofErr w:type="spellEnd"/>
                                  <w:r>
                                    <w:t xml:space="preserve"> of giving to your DAF.</w:t>
                                  </w:r>
                                </w:p>
                                <w:p w14:paraId="18174488" w14:textId="4365F8D0" w:rsidR="004D3530" w:rsidRDefault="00F47DF3" w:rsidP="004D3530">
                                  <w:pPr>
                                    <w:jc w:val="center"/>
                                  </w:pPr>
                                  <w:r>
                                    <w:t>Itemize your deductions</w:t>
                                  </w:r>
                                  <w:r w:rsidR="004D3530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80BB7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6" o:spid="_x0000_s1028" type="#_x0000_t109" style="position:absolute;margin-left:362.85pt;margin-top:4.4pt;width:138.75pt;height:10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" fillcolor="#0b2b48 [3204]" strokecolor="#051523 [1604]" strokeweight="1pt">
                      <v:textbox>
                        <w:txbxContent>
                          <w:p w14:paraId="5EA182FE" w14:textId="77777777" w:rsidR="004D3530" w:rsidRPr="00B42D38" w:rsidRDefault="004D3530" w:rsidP="004D35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2D38">
                              <w:rPr>
                                <w:b/>
                              </w:rPr>
                              <w:t>Year Three:</w:t>
                            </w:r>
                          </w:p>
                          <w:p w14:paraId="752B4587" w14:textId="77777777" w:rsidR="004D3530" w:rsidRDefault="004D3530" w:rsidP="004D3530">
                            <w:pPr>
                              <w:jc w:val="center"/>
                            </w:pPr>
                            <w:r>
                              <w:t xml:space="preserve">Donate 2 </w:t>
                            </w:r>
                            <w:proofErr w:type="spellStart"/>
                            <w:r>
                              <w:t>year’s worth</w:t>
                            </w:r>
                            <w:proofErr w:type="spellEnd"/>
                            <w:r>
                              <w:t xml:space="preserve"> of giving to your DAF.</w:t>
                            </w:r>
                          </w:p>
                          <w:p w14:paraId="18174488" w14:textId="4365F8D0" w:rsidR="004D3530" w:rsidRDefault="00F47DF3" w:rsidP="004D3530">
                            <w:pPr>
                              <w:jc w:val="center"/>
                            </w:pPr>
                            <w:r>
                              <w:t>Itemize your deductions</w:t>
                            </w:r>
                            <w:r w:rsidR="004D3530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6606C5" wp14:editId="1329349A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65405</wp:posOffset>
                      </wp:positionV>
                      <wp:extent cx="1762125" cy="1314450"/>
                      <wp:effectExtent l="0" t="0" r="28575" b="19050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1314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16529A" w14:textId="77777777" w:rsidR="00AF5398" w:rsidRPr="00B42D38" w:rsidRDefault="00AF5398" w:rsidP="00AF539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42D38">
                                    <w:rPr>
                                      <w:b/>
                                      <w:color w:val="FFFFFF" w:themeColor="background1"/>
                                    </w:rPr>
                                    <w:t>Year One:</w:t>
                                  </w:r>
                                </w:p>
                                <w:p w14:paraId="7A6BABF1" w14:textId="77777777" w:rsidR="00A84670" w:rsidRPr="00B42D38" w:rsidRDefault="00AF5398" w:rsidP="00AF539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42D38">
                                    <w:rPr>
                                      <w:color w:val="FFFFFF" w:themeColor="background1"/>
                                    </w:rPr>
                                    <w:t xml:space="preserve">Donate 2 </w:t>
                                  </w:r>
                                  <w:proofErr w:type="spellStart"/>
                                  <w:r w:rsidRPr="00B42D38">
                                    <w:rPr>
                                      <w:color w:val="FFFFFF" w:themeColor="background1"/>
                                    </w:rPr>
                                    <w:t>year’s worth</w:t>
                                  </w:r>
                                  <w:proofErr w:type="spellEnd"/>
                                  <w:r w:rsidRPr="00B42D38">
                                    <w:rPr>
                                      <w:color w:val="FFFFFF" w:themeColor="background1"/>
                                    </w:rPr>
                                    <w:t xml:space="preserve"> of giving to your DAF. </w:t>
                                  </w:r>
                                </w:p>
                                <w:p w14:paraId="0FB04021" w14:textId="7D4D7DD9" w:rsidR="00AF5398" w:rsidRPr="00B42D38" w:rsidRDefault="00F47DF3" w:rsidP="00AF539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Itemize your</w:t>
                                  </w:r>
                                  <w:r w:rsidR="00AF5398" w:rsidRPr="00B42D38">
                                    <w:rPr>
                                      <w:color w:val="FFFFFF" w:themeColor="background1"/>
                                    </w:rPr>
                                    <w:t xml:space="preserve"> deduction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s</w:t>
                                  </w:r>
                                  <w:r w:rsidR="00AF5398" w:rsidRPr="00B42D38">
                                    <w:rPr>
                                      <w:color w:val="FFFFFF" w:themeColor="background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606C5" id="Flowchart: Process 2" o:spid="_x0000_s1029" type="#_x0000_t109" style="position:absolute;margin-left:24.6pt;margin-top:5.15pt;width:138.75pt;height:10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" fillcolor="#0b2b48 [3204]" strokecolor="#0b2b48 [3204]" strokeweight=".5pt">
                      <v:textbox>
                        <w:txbxContent>
                          <w:p w14:paraId="3316529A" w14:textId="77777777" w:rsidR="00AF5398" w:rsidRPr="00B42D38" w:rsidRDefault="00AF5398" w:rsidP="00AF539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42D38">
                              <w:rPr>
                                <w:b/>
                                <w:color w:val="FFFFFF" w:themeColor="background1"/>
                              </w:rPr>
                              <w:t>Year One:</w:t>
                            </w:r>
                          </w:p>
                          <w:p w14:paraId="7A6BABF1" w14:textId="77777777" w:rsidR="00A84670" w:rsidRPr="00B42D38" w:rsidRDefault="00AF5398" w:rsidP="00AF539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42D38">
                              <w:rPr>
                                <w:color w:val="FFFFFF" w:themeColor="background1"/>
                              </w:rPr>
                              <w:t xml:space="preserve">Donate 2 </w:t>
                            </w:r>
                            <w:proofErr w:type="spellStart"/>
                            <w:r w:rsidRPr="00B42D38">
                              <w:rPr>
                                <w:color w:val="FFFFFF" w:themeColor="background1"/>
                              </w:rPr>
                              <w:t>year’s worth</w:t>
                            </w:r>
                            <w:proofErr w:type="spellEnd"/>
                            <w:r w:rsidRPr="00B42D38">
                              <w:rPr>
                                <w:color w:val="FFFFFF" w:themeColor="background1"/>
                              </w:rPr>
                              <w:t xml:space="preserve"> of giving to your DAF. </w:t>
                            </w:r>
                          </w:p>
                          <w:p w14:paraId="0FB04021" w14:textId="7D4D7DD9" w:rsidR="00AF5398" w:rsidRPr="00B42D38" w:rsidRDefault="00F47DF3" w:rsidP="00AF539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Itemize your</w:t>
                            </w:r>
                            <w:r w:rsidR="00AF5398" w:rsidRPr="00B42D38">
                              <w:rPr>
                                <w:color w:val="FFFFFF" w:themeColor="background1"/>
                              </w:rPr>
                              <w:t xml:space="preserve"> deduction</w:t>
                            </w:r>
                            <w:r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="00AF5398" w:rsidRPr="00B42D38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43ED11" wp14:editId="31B0CA89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65405</wp:posOffset>
                      </wp:positionV>
                      <wp:extent cx="1762125" cy="1323975"/>
                      <wp:effectExtent l="0" t="0" r="28575" b="28575"/>
                      <wp:wrapNone/>
                      <wp:docPr id="5" name="Flowchart: Proc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1323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6E5A7D" w14:textId="77777777" w:rsidR="00AF5398" w:rsidRPr="00B42D38" w:rsidRDefault="00AF5398" w:rsidP="00AF539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42D38">
                                    <w:rPr>
                                      <w:b/>
                                    </w:rPr>
                                    <w:t>Year Two:</w:t>
                                  </w:r>
                                </w:p>
                                <w:p w14:paraId="07924CA6" w14:textId="77777777" w:rsidR="00AF5398" w:rsidRDefault="00907BFF" w:rsidP="00AF5398">
                                  <w:pPr>
                                    <w:jc w:val="center"/>
                                  </w:pPr>
                                  <w:r>
                                    <w:t xml:space="preserve">Work with the Community Foundation of </w:t>
                                  </w:r>
                                  <w:r w:rsidRPr="00907BFF">
                                    <w:t>SWLA</w:t>
                                  </w:r>
                                  <w:r w:rsidR="00A84670">
                                    <w:t xml:space="preserve"> on donat</w:t>
                                  </w:r>
                                  <w:r w:rsidR="00317168">
                                    <w:t>ing</w:t>
                                  </w:r>
                                  <w:r w:rsidR="00A84670">
                                    <w:t xml:space="preserve"> from the DAF. Take the standard deduction.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3ED11" id="Flowchart: Process 5" o:spid="_x0000_s1030" type="#_x0000_t109" style="position:absolute;margin-left:194.1pt;margin-top:5.15pt;width:138.75pt;height:10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" fillcolor="#0b2b48 [3204]" strokecolor="#051523 [1604]" strokeweight="1pt">
                      <v:textbox>
                        <w:txbxContent>
                          <w:p w14:paraId="3F6E5A7D" w14:textId="77777777" w:rsidR="00AF5398" w:rsidRPr="00B42D38" w:rsidRDefault="00AF5398" w:rsidP="00AF539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2D38">
                              <w:rPr>
                                <w:b/>
                              </w:rPr>
                              <w:t>Year Two:</w:t>
                            </w:r>
                          </w:p>
                          <w:p w14:paraId="07924CA6" w14:textId="77777777" w:rsidR="00AF5398" w:rsidRDefault="00907BFF" w:rsidP="00AF5398">
                            <w:pPr>
                              <w:jc w:val="center"/>
                            </w:pPr>
                            <w:r>
                              <w:t xml:space="preserve">Work with the Community Foundation of </w:t>
                            </w:r>
                            <w:r w:rsidRPr="00907BFF">
                              <w:t>SWLA</w:t>
                            </w:r>
                            <w:r w:rsidR="00A84670">
                              <w:t xml:space="preserve"> on donat</w:t>
                            </w:r>
                            <w:r w:rsidR="00317168">
                              <w:t>ing</w:t>
                            </w:r>
                            <w:r w:rsidR="00A84670">
                              <w:t xml:space="preserve"> from the DAF. Take the standard deduction.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A8B1C0" w14:textId="77777777" w:rsidR="7449DC56" w:rsidRDefault="7449DC56" w:rsidP="7449DC56">
            <w:pPr>
              <w:spacing w:after="120"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  <w:p w14:paraId="0AB7F0DD" w14:textId="77777777" w:rsidR="7449DC56" w:rsidRDefault="7449DC56" w:rsidP="7449DC56">
            <w:pPr>
              <w:spacing w:after="120"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  <w:p w14:paraId="4DA00728" w14:textId="77777777" w:rsidR="7449DC56" w:rsidRDefault="7449DC56" w:rsidP="7449DC56">
            <w:pPr>
              <w:spacing w:after="120"/>
              <w:jc w:val="center"/>
              <w:rPr>
                <w:rFonts w:eastAsiaTheme="minorEastAsia"/>
                <w:sz w:val="28"/>
                <w:szCs w:val="28"/>
              </w:rPr>
            </w:pPr>
          </w:p>
          <w:p w14:paraId="0F3F5E34" w14:textId="77777777" w:rsidR="00C65CA3" w:rsidRDefault="00C65CA3" w:rsidP="7449DC56">
            <w:pPr>
              <w:spacing w:after="120"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  <w:p w14:paraId="397B9DD2" w14:textId="77777777" w:rsidR="005C202C" w:rsidRPr="005C202C" w:rsidRDefault="005C202C" w:rsidP="00E71C44">
            <w:pPr>
              <w:spacing w:after="120"/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0D0DAE1C" w14:textId="6B305D63" w:rsidR="007A5E18" w:rsidRPr="00E96766" w:rsidRDefault="007A5E18" w:rsidP="00E71C44">
            <w:pPr>
              <w:spacing w:after="120"/>
              <w:jc w:val="center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Types of Gifts</w:t>
            </w:r>
          </w:p>
        </w:tc>
      </w:tr>
      <w:tr w:rsidR="000B5A13" w14:paraId="7CBD7B1E" w14:textId="77777777" w:rsidTr="00B4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il"/>
              <w:bottom w:val="nil"/>
            </w:tcBorders>
            <w:shd w:val="clear" w:color="auto" w:fill="auto"/>
          </w:tcPr>
          <w:p w14:paraId="1FC7C678" w14:textId="77777777" w:rsidR="000B5A13" w:rsidRDefault="000B5A13" w:rsidP="00E71C44">
            <w:pPr>
              <w:spacing w:before="60" w:after="6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6A15C7">
              <w:rPr>
                <w:rFonts w:cstheme="minorHAnsi"/>
                <w:sz w:val="24"/>
                <w:szCs w:val="24"/>
              </w:rPr>
              <w:t>Donate Gifts of Cash</w:t>
            </w:r>
          </w:p>
          <w:p w14:paraId="4E159BCC" w14:textId="77777777" w:rsidR="000B5A13" w:rsidRPr="00B42D38" w:rsidRDefault="00F82360" w:rsidP="7449DC56">
            <w:pPr>
              <w:spacing w:before="60" w:after="60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D</w:t>
            </w:r>
            <w:r w:rsidR="7449DC56" w:rsidRPr="00B42D38">
              <w:rPr>
                <w:rFonts w:eastAsiaTheme="minorEastAsia"/>
                <w:b w:val="0"/>
                <w:bCs w:val="0"/>
              </w:rPr>
              <w:t xml:space="preserve">onors can </w:t>
            </w:r>
            <w:r>
              <w:rPr>
                <w:rFonts w:eastAsiaTheme="minorEastAsia"/>
                <w:b w:val="0"/>
                <w:bCs w:val="0"/>
              </w:rPr>
              <w:t xml:space="preserve">now </w:t>
            </w:r>
            <w:r w:rsidR="7449DC56" w:rsidRPr="00B42D38">
              <w:rPr>
                <w:rFonts w:eastAsiaTheme="minorEastAsia"/>
                <w:b w:val="0"/>
                <w:bCs w:val="0"/>
              </w:rPr>
              <w:t>deduct up to 60% of adjusted gross income for contributions of cash—up from 50%. If your cash donations exceed that limit, you can carry forward any unused deductions for five years.</w:t>
            </w:r>
          </w:p>
        </w:tc>
        <w:tc>
          <w:tcPr>
            <w:tcW w:w="3597" w:type="dxa"/>
            <w:tcBorders>
              <w:top w:val="nil"/>
              <w:bottom w:val="nil"/>
            </w:tcBorders>
            <w:shd w:val="clear" w:color="auto" w:fill="auto"/>
          </w:tcPr>
          <w:p w14:paraId="2E06AF69" w14:textId="77777777" w:rsidR="000B5A13" w:rsidRDefault="000B5A13" w:rsidP="00E71C4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B5A13">
              <w:rPr>
                <w:rFonts w:cstheme="minorHAnsi"/>
                <w:b/>
                <w:sz w:val="24"/>
                <w:szCs w:val="24"/>
              </w:rPr>
              <w:t>Donate Gifts of Appreciated Stock</w:t>
            </w:r>
          </w:p>
          <w:p w14:paraId="518421DD" w14:textId="77777777" w:rsidR="006C76AB" w:rsidRPr="005C202C" w:rsidRDefault="006C76AB" w:rsidP="00E71C4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5C202C">
              <w:rPr>
                <w:rFonts w:cstheme="minorHAnsi"/>
                <w:bCs/>
              </w:rPr>
              <w:t>When you donate stock</w:t>
            </w:r>
            <w:r w:rsidR="00D4689B" w:rsidRPr="005C202C">
              <w:rPr>
                <w:rFonts w:cstheme="minorHAnsi"/>
                <w:bCs/>
              </w:rPr>
              <w:t xml:space="preserve">, you can deduct the full value of the stock at the time you donate it. </w:t>
            </w:r>
            <w:r w:rsidRPr="005C202C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3597" w:type="dxa"/>
            <w:tcBorders>
              <w:top w:val="nil"/>
              <w:bottom w:val="nil"/>
            </w:tcBorders>
            <w:shd w:val="clear" w:color="auto" w:fill="auto"/>
          </w:tcPr>
          <w:p w14:paraId="09294B70" w14:textId="77777777" w:rsidR="000B5A13" w:rsidRDefault="000B5A13" w:rsidP="00E71C4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B5A13">
              <w:rPr>
                <w:rFonts w:cstheme="minorHAnsi"/>
                <w:b/>
                <w:sz w:val="24"/>
                <w:szCs w:val="24"/>
              </w:rPr>
              <w:t>Donate Non-cash Assets</w:t>
            </w:r>
          </w:p>
          <w:p w14:paraId="55140981" w14:textId="4E3FFB9D" w:rsidR="005C202C" w:rsidRPr="005C202C" w:rsidRDefault="005C202C" w:rsidP="00E71C4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 can also donate other non-cash assets, such as real estate holdings or art collections, and deduct the full market value.</w:t>
            </w:r>
          </w:p>
        </w:tc>
      </w:tr>
    </w:tbl>
    <w:p w14:paraId="0C292543" w14:textId="6C2015E1" w:rsidR="00CE1268" w:rsidRPr="005C202C" w:rsidRDefault="00CE1268" w:rsidP="005C202C">
      <w:pPr>
        <w:pStyle w:val="NormalWeb"/>
        <w:spacing w:before="240" w:beforeAutospacing="0" w:after="240" w:afterAutospacing="0"/>
        <w:jc w:val="center"/>
        <w:textAlignment w:val="baseline"/>
        <w:rPr>
          <w:rFonts w:asciiTheme="minorHAnsi" w:hAnsiTheme="minorHAnsi" w:cstheme="minorHAnsi"/>
          <w:i/>
          <w:sz w:val="23"/>
          <w:szCs w:val="23"/>
        </w:rPr>
      </w:pPr>
      <w:r w:rsidRPr="005C202C">
        <w:rPr>
          <w:rFonts w:asciiTheme="minorHAnsi" w:hAnsiTheme="minorHAnsi" w:cstheme="minorHAnsi"/>
          <w:i/>
          <w:sz w:val="23"/>
          <w:szCs w:val="23"/>
        </w:rPr>
        <w:t xml:space="preserve">Contact the </w:t>
      </w:r>
      <w:r w:rsidR="005C202C" w:rsidRPr="005C202C">
        <w:rPr>
          <w:rFonts w:asciiTheme="minorHAnsi" w:hAnsiTheme="minorHAnsi" w:cstheme="minorHAnsi"/>
          <w:i/>
          <w:sz w:val="23"/>
          <w:szCs w:val="23"/>
        </w:rPr>
        <w:t>[</w:t>
      </w:r>
      <w:r w:rsidRPr="005C202C">
        <w:rPr>
          <w:rFonts w:asciiTheme="minorHAnsi" w:hAnsiTheme="minorHAnsi" w:cstheme="minorHAnsi"/>
          <w:i/>
          <w:sz w:val="23"/>
          <w:szCs w:val="23"/>
        </w:rPr>
        <w:t>Foundation</w:t>
      </w:r>
      <w:r w:rsidR="005C202C" w:rsidRPr="005C202C">
        <w:rPr>
          <w:rFonts w:asciiTheme="minorHAnsi" w:hAnsiTheme="minorHAnsi" w:cstheme="minorHAnsi"/>
          <w:i/>
          <w:sz w:val="23"/>
          <w:szCs w:val="23"/>
        </w:rPr>
        <w:t xml:space="preserve"> Name]</w:t>
      </w:r>
      <w:r w:rsidRPr="005C202C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5C202C" w:rsidRPr="005C202C">
        <w:rPr>
          <w:rFonts w:asciiTheme="minorHAnsi" w:hAnsiTheme="minorHAnsi" w:cstheme="minorHAnsi"/>
          <w:i/>
          <w:sz w:val="23"/>
          <w:szCs w:val="23"/>
        </w:rPr>
        <w:t>for</w:t>
      </w:r>
      <w:r w:rsidRPr="005C202C">
        <w:rPr>
          <w:rFonts w:asciiTheme="minorHAnsi" w:hAnsiTheme="minorHAnsi" w:cstheme="minorHAnsi"/>
          <w:i/>
          <w:sz w:val="23"/>
          <w:szCs w:val="23"/>
        </w:rPr>
        <w:t xml:space="preserve"> more information about creating Donor Advised Funds or other </w:t>
      </w:r>
      <w:r w:rsidR="00CD5FBA" w:rsidRPr="005C202C">
        <w:rPr>
          <w:rFonts w:asciiTheme="minorHAnsi" w:hAnsiTheme="minorHAnsi" w:cstheme="minorHAnsi"/>
          <w:i/>
          <w:sz w:val="23"/>
          <w:szCs w:val="23"/>
        </w:rPr>
        <w:t xml:space="preserve">charitable </w:t>
      </w:r>
      <w:r w:rsidRPr="005C202C">
        <w:rPr>
          <w:rFonts w:asciiTheme="minorHAnsi" w:hAnsiTheme="minorHAnsi" w:cstheme="minorHAnsi"/>
          <w:i/>
          <w:sz w:val="23"/>
          <w:szCs w:val="23"/>
        </w:rPr>
        <w:t>giving opportunities.</w:t>
      </w:r>
    </w:p>
    <w:sectPr w:rsidR="00CE1268" w:rsidRPr="005C202C" w:rsidSect="00112592">
      <w:pgSz w:w="12240" w:h="15840"/>
      <w:pgMar w:top="720" w:right="720" w:bottom="720" w:left="720" w:header="720" w:footer="720" w:gutter="0"/>
      <w:pgBorders w:offsetFrom="page">
        <w:top w:val="thinThickSmallGap" w:sz="24" w:space="24" w:color="081F35" w:themeColor="accent1" w:themeShade="BF"/>
        <w:left w:val="thinThickSmallGap" w:sz="24" w:space="24" w:color="081F35" w:themeColor="accent1" w:themeShade="BF"/>
        <w:bottom w:val="thickThinSmallGap" w:sz="24" w:space="24" w:color="081F35" w:themeColor="accent1" w:themeShade="BF"/>
        <w:right w:val="thickThinSmallGap" w:sz="24" w:space="24" w:color="081F3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369D8" w14:textId="77777777" w:rsidR="00F21BA3" w:rsidRDefault="00F21BA3" w:rsidP="00C65CA3">
      <w:pPr>
        <w:spacing w:after="0" w:line="240" w:lineRule="auto"/>
      </w:pPr>
      <w:r>
        <w:separator/>
      </w:r>
    </w:p>
  </w:endnote>
  <w:endnote w:type="continuationSeparator" w:id="0">
    <w:p w14:paraId="38BA8A25" w14:textId="77777777" w:rsidR="00F21BA3" w:rsidRDefault="00F21BA3" w:rsidP="00C6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941CD" w14:textId="77777777" w:rsidR="00F21BA3" w:rsidRDefault="00F21BA3" w:rsidP="00C65CA3">
      <w:pPr>
        <w:spacing w:after="0" w:line="240" w:lineRule="auto"/>
      </w:pPr>
      <w:r>
        <w:separator/>
      </w:r>
    </w:p>
  </w:footnote>
  <w:footnote w:type="continuationSeparator" w:id="0">
    <w:p w14:paraId="5B3A220C" w14:textId="77777777" w:rsidR="00F21BA3" w:rsidRDefault="00F21BA3" w:rsidP="00C65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C14DA"/>
    <w:multiLevelType w:val="hybridMultilevel"/>
    <w:tmpl w:val="5B2E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B60DC"/>
    <w:multiLevelType w:val="hybridMultilevel"/>
    <w:tmpl w:val="5FEA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68"/>
    <w:rsid w:val="00003159"/>
    <w:rsid w:val="0008349A"/>
    <w:rsid w:val="000A4608"/>
    <w:rsid w:val="000B36CD"/>
    <w:rsid w:val="000B5A13"/>
    <w:rsid w:val="00112592"/>
    <w:rsid w:val="001171C7"/>
    <w:rsid w:val="0015178C"/>
    <w:rsid w:val="00172EC4"/>
    <w:rsid w:val="001A5A58"/>
    <w:rsid w:val="001A6F57"/>
    <w:rsid w:val="002542A9"/>
    <w:rsid w:val="002E6693"/>
    <w:rsid w:val="002E7B2E"/>
    <w:rsid w:val="002F7D71"/>
    <w:rsid w:val="00317168"/>
    <w:rsid w:val="00331671"/>
    <w:rsid w:val="003C183A"/>
    <w:rsid w:val="003C4236"/>
    <w:rsid w:val="003D0DA1"/>
    <w:rsid w:val="0043717E"/>
    <w:rsid w:val="004A0C06"/>
    <w:rsid w:val="004D3530"/>
    <w:rsid w:val="005401F3"/>
    <w:rsid w:val="00545DA2"/>
    <w:rsid w:val="00552DEB"/>
    <w:rsid w:val="005A66D0"/>
    <w:rsid w:val="005C202C"/>
    <w:rsid w:val="005C784F"/>
    <w:rsid w:val="00632C3B"/>
    <w:rsid w:val="00642F52"/>
    <w:rsid w:val="00651A5C"/>
    <w:rsid w:val="00654D19"/>
    <w:rsid w:val="00666B79"/>
    <w:rsid w:val="006A15C7"/>
    <w:rsid w:val="006C76AB"/>
    <w:rsid w:val="007A5E18"/>
    <w:rsid w:val="00803BB1"/>
    <w:rsid w:val="008A1123"/>
    <w:rsid w:val="008D5F48"/>
    <w:rsid w:val="00905878"/>
    <w:rsid w:val="00907BFF"/>
    <w:rsid w:val="0094280C"/>
    <w:rsid w:val="00990AB9"/>
    <w:rsid w:val="009D1124"/>
    <w:rsid w:val="00A60E4E"/>
    <w:rsid w:val="00A84670"/>
    <w:rsid w:val="00A95539"/>
    <w:rsid w:val="00AA6E59"/>
    <w:rsid w:val="00AE613F"/>
    <w:rsid w:val="00AF5398"/>
    <w:rsid w:val="00B0285B"/>
    <w:rsid w:val="00B10D61"/>
    <w:rsid w:val="00B42D38"/>
    <w:rsid w:val="00BE1E5A"/>
    <w:rsid w:val="00C146B8"/>
    <w:rsid w:val="00C45E8B"/>
    <w:rsid w:val="00C55090"/>
    <w:rsid w:val="00C62A3B"/>
    <w:rsid w:val="00C65CA3"/>
    <w:rsid w:val="00CD5FBA"/>
    <w:rsid w:val="00CE1268"/>
    <w:rsid w:val="00CE6497"/>
    <w:rsid w:val="00D12544"/>
    <w:rsid w:val="00D4689B"/>
    <w:rsid w:val="00D75FC4"/>
    <w:rsid w:val="00D85203"/>
    <w:rsid w:val="00DA26B6"/>
    <w:rsid w:val="00DB0D26"/>
    <w:rsid w:val="00E30EFD"/>
    <w:rsid w:val="00E43AF9"/>
    <w:rsid w:val="00E46EA4"/>
    <w:rsid w:val="00E47A79"/>
    <w:rsid w:val="00E96766"/>
    <w:rsid w:val="00E97AD0"/>
    <w:rsid w:val="00EF6368"/>
    <w:rsid w:val="00F007E2"/>
    <w:rsid w:val="00F21BA3"/>
    <w:rsid w:val="00F32F4C"/>
    <w:rsid w:val="00F47DF3"/>
    <w:rsid w:val="00F82360"/>
    <w:rsid w:val="00FD091F"/>
    <w:rsid w:val="7449D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CC85"/>
  <w15:chartTrackingRefBased/>
  <w15:docId w15:val="{82853D39-071E-443B-A724-1E297318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12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7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8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4F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EF636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F6368"/>
    <w:rPr>
      <w:rFonts w:eastAsiaTheme="minorEastAsia"/>
    </w:rPr>
  </w:style>
  <w:style w:type="table" w:styleId="TableGrid">
    <w:name w:val="Table Grid"/>
    <w:basedOn w:val="TableNormal"/>
    <w:uiPriority w:val="39"/>
    <w:rsid w:val="0033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4A0C06"/>
    <w:pPr>
      <w:spacing w:after="0" w:line="240" w:lineRule="auto"/>
    </w:pPr>
    <w:tblPr>
      <w:tblStyleRowBandSize w:val="1"/>
      <w:tblStyleColBandSize w:val="1"/>
      <w:tblBorders>
        <w:top w:val="single" w:sz="2" w:space="0" w:color="FAA97B" w:themeColor="accent2" w:themeTint="99"/>
        <w:bottom w:val="single" w:sz="2" w:space="0" w:color="FAA97B" w:themeColor="accent2" w:themeTint="99"/>
        <w:insideH w:val="single" w:sz="2" w:space="0" w:color="FAA97B" w:themeColor="accent2" w:themeTint="99"/>
        <w:insideV w:val="single" w:sz="2" w:space="0" w:color="FAA97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97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97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DE2D2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7A5E18"/>
    <w:pPr>
      <w:spacing w:after="0" w:line="240" w:lineRule="auto"/>
    </w:pPr>
    <w:tblPr>
      <w:tblStyleRowBandSize w:val="1"/>
      <w:tblStyleColBandSize w:val="1"/>
      <w:tblBorders>
        <w:top w:val="single" w:sz="4" w:space="0" w:color="FAA97B" w:themeColor="accent2" w:themeTint="99"/>
        <w:left w:val="single" w:sz="4" w:space="0" w:color="FAA97B" w:themeColor="accent2" w:themeTint="99"/>
        <w:bottom w:val="single" w:sz="4" w:space="0" w:color="FAA97B" w:themeColor="accent2" w:themeTint="99"/>
        <w:right w:val="single" w:sz="4" w:space="0" w:color="FAA97B" w:themeColor="accent2" w:themeTint="99"/>
        <w:insideH w:val="single" w:sz="4" w:space="0" w:color="FAA97B" w:themeColor="accent2" w:themeTint="99"/>
        <w:insideV w:val="single" w:sz="4" w:space="0" w:color="FAA9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D2" w:themeFill="accent2" w:themeFillTint="33"/>
      </w:tcPr>
    </w:tblStylePr>
    <w:tblStylePr w:type="band1Horz">
      <w:tblPr/>
      <w:tcPr>
        <w:shd w:val="clear" w:color="auto" w:fill="FDE2D2" w:themeFill="accent2" w:themeFillTint="33"/>
      </w:tcPr>
    </w:tblStylePr>
    <w:tblStylePr w:type="neCell">
      <w:tblPr/>
      <w:tcPr>
        <w:tcBorders>
          <w:bottom w:val="single" w:sz="4" w:space="0" w:color="FAA97B" w:themeColor="accent2" w:themeTint="99"/>
        </w:tcBorders>
      </w:tcPr>
    </w:tblStylePr>
    <w:tblStylePr w:type="nwCell">
      <w:tblPr/>
      <w:tcPr>
        <w:tcBorders>
          <w:bottom w:val="single" w:sz="4" w:space="0" w:color="FAA97B" w:themeColor="accent2" w:themeTint="99"/>
        </w:tcBorders>
      </w:tcPr>
    </w:tblStylePr>
    <w:tblStylePr w:type="seCell">
      <w:tblPr/>
      <w:tcPr>
        <w:tcBorders>
          <w:top w:val="single" w:sz="4" w:space="0" w:color="FAA97B" w:themeColor="accent2" w:themeTint="99"/>
        </w:tcBorders>
      </w:tcPr>
    </w:tblStylePr>
    <w:tblStylePr w:type="swCell">
      <w:tblPr/>
      <w:tcPr>
        <w:tcBorders>
          <w:top w:val="single" w:sz="4" w:space="0" w:color="FAA97B" w:themeColor="accent2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65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CA3"/>
  </w:style>
  <w:style w:type="paragraph" w:styleId="Footer">
    <w:name w:val="footer"/>
    <w:basedOn w:val="Normal"/>
    <w:link w:val="FooterChar"/>
    <w:uiPriority w:val="99"/>
    <w:unhideWhenUsed/>
    <w:rsid w:val="00C65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uncil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B2B48"/>
      </a:accent1>
      <a:accent2>
        <a:srgbClr val="F77124"/>
      </a:accent2>
      <a:accent3>
        <a:srgbClr val="A2C53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48000-CB25-4319-A4C5-28E52A03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Judson</dc:creator>
  <cp:keywords/>
  <dc:description/>
  <cp:lastModifiedBy>Rebecca Viser</cp:lastModifiedBy>
  <cp:revision>6</cp:revision>
  <dcterms:created xsi:type="dcterms:W3CDTF">2018-10-16T17:01:00Z</dcterms:created>
  <dcterms:modified xsi:type="dcterms:W3CDTF">2018-10-17T19:56:00Z</dcterms:modified>
</cp:coreProperties>
</file>